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150" w:type="dxa"/>
        <w:tblCellSpacing w:w="0" w:type="dxa"/>
        <w:tblCellMar>
          <w:left w:w="0" w:type="dxa"/>
          <w:right w:w="0" w:type="dxa"/>
        </w:tblCellMar>
        <w:tblLook w:val="04A0"/>
      </w:tblPr>
      <w:tblGrid>
        <w:gridCol w:w="1214"/>
        <w:gridCol w:w="2430"/>
        <w:gridCol w:w="1215"/>
        <w:gridCol w:w="2552"/>
        <w:gridCol w:w="1215"/>
        <w:gridCol w:w="3524"/>
      </w:tblGrid>
      <w:tr w:rsidR="004B27D5" w:rsidRPr="004B27D5" w:rsidTr="004B27D5">
        <w:trPr>
          <w:tblCellSpacing w:w="0" w:type="dxa"/>
        </w:trPr>
        <w:tc>
          <w:tcPr>
            <w:tcW w:w="500" w:type="pct"/>
            <w:hideMark/>
          </w:tcPr>
          <w:p w:rsidR="004B27D5" w:rsidRPr="004B27D5" w:rsidRDefault="004B27D5" w:rsidP="004B27D5">
            <w:pPr>
              <w:widowControl/>
              <w:spacing w:line="375" w:lineRule="atLeast"/>
              <w:jc w:val="left"/>
              <w:rPr>
                <w:rFonts w:ascii="宋体" w:eastAsia="宋体" w:hAnsi="宋体" w:cs="宋体"/>
                <w:b/>
                <w:bCs/>
                <w:color w:val="4B4B4B"/>
                <w:kern w:val="0"/>
                <w:szCs w:val="21"/>
              </w:rPr>
            </w:pPr>
            <w:r w:rsidRPr="004B27D5">
              <w:rPr>
                <w:rFonts w:ascii="宋体" w:eastAsia="宋体" w:hAnsi="宋体" w:cs="宋体" w:hint="eastAsia"/>
                <w:b/>
                <w:bCs/>
                <w:color w:val="4B4B4B"/>
                <w:kern w:val="0"/>
                <w:szCs w:val="21"/>
              </w:rPr>
              <w:t>信息名称：</w:t>
            </w:r>
          </w:p>
        </w:tc>
        <w:tc>
          <w:tcPr>
            <w:tcW w:w="0" w:type="auto"/>
            <w:gridSpan w:val="5"/>
            <w:hideMark/>
          </w:tcPr>
          <w:p w:rsidR="004B27D5" w:rsidRPr="004B27D5" w:rsidRDefault="004B27D5" w:rsidP="004B27D5">
            <w:pPr>
              <w:widowControl/>
              <w:spacing w:line="375" w:lineRule="atLeast"/>
              <w:jc w:val="left"/>
              <w:rPr>
                <w:rFonts w:ascii="宋体" w:eastAsia="宋体" w:hAnsi="宋体" w:cs="宋体"/>
                <w:b/>
                <w:bCs/>
                <w:color w:val="CC3300"/>
                <w:kern w:val="0"/>
                <w:szCs w:val="21"/>
              </w:rPr>
            </w:pPr>
            <w:r w:rsidRPr="004B27D5">
              <w:rPr>
                <w:rFonts w:ascii="宋体" w:eastAsia="宋体" w:hAnsi="宋体" w:cs="宋体" w:hint="eastAsia"/>
                <w:b/>
                <w:bCs/>
                <w:color w:val="CC3300"/>
                <w:kern w:val="0"/>
                <w:szCs w:val="21"/>
              </w:rPr>
              <w:t>高等学校学术委员会规程</w:t>
            </w:r>
          </w:p>
        </w:tc>
      </w:tr>
      <w:tr w:rsidR="004B27D5" w:rsidRPr="004B27D5" w:rsidTr="004B27D5">
        <w:trPr>
          <w:tblCellSpacing w:w="0" w:type="dxa"/>
        </w:trPr>
        <w:tc>
          <w:tcPr>
            <w:tcW w:w="500" w:type="pct"/>
            <w:hideMark/>
          </w:tcPr>
          <w:p w:rsidR="004B27D5" w:rsidRPr="004B27D5" w:rsidRDefault="004B27D5" w:rsidP="004B27D5">
            <w:pPr>
              <w:widowControl/>
              <w:spacing w:line="375" w:lineRule="atLeast"/>
              <w:jc w:val="left"/>
              <w:rPr>
                <w:rFonts w:ascii="宋体" w:eastAsia="宋体" w:hAnsi="宋体" w:cs="宋体"/>
                <w:b/>
                <w:bCs/>
                <w:color w:val="4B4B4B"/>
                <w:kern w:val="0"/>
                <w:szCs w:val="21"/>
              </w:rPr>
            </w:pPr>
            <w:r w:rsidRPr="004B27D5">
              <w:rPr>
                <w:rFonts w:ascii="宋体" w:eastAsia="宋体" w:hAnsi="宋体" w:cs="宋体" w:hint="eastAsia"/>
                <w:b/>
                <w:bCs/>
                <w:color w:val="4B4B4B"/>
                <w:kern w:val="0"/>
                <w:szCs w:val="21"/>
              </w:rPr>
              <w:t>信息索引：</w:t>
            </w:r>
          </w:p>
        </w:tc>
        <w:tc>
          <w:tcPr>
            <w:tcW w:w="1000" w:type="pct"/>
            <w:hideMark/>
          </w:tcPr>
          <w:p w:rsidR="004B27D5" w:rsidRPr="004B27D5" w:rsidRDefault="004B27D5" w:rsidP="004B27D5">
            <w:pPr>
              <w:widowControl/>
              <w:spacing w:line="375" w:lineRule="atLeast"/>
              <w:jc w:val="left"/>
              <w:rPr>
                <w:rFonts w:ascii="宋体" w:eastAsia="宋体" w:hAnsi="宋体" w:cs="宋体"/>
                <w:color w:val="4B4B4B"/>
                <w:kern w:val="0"/>
                <w:szCs w:val="21"/>
              </w:rPr>
            </w:pPr>
            <w:r w:rsidRPr="004B27D5">
              <w:rPr>
                <w:rFonts w:ascii="宋体" w:eastAsia="宋体" w:hAnsi="宋体" w:cs="宋体" w:hint="eastAsia"/>
                <w:color w:val="4B4B4B"/>
                <w:kern w:val="0"/>
                <w:szCs w:val="21"/>
              </w:rPr>
              <w:t>360A02-03-2014-0002-1</w:t>
            </w:r>
          </w:p>
        </w:tc>
        <w:tc>
          <w:tcPr>
            <w:tcW w:w="500" w:type="pct"/>
            <w:hideMark/>
          </w:tcPr>
          <w:p w:rsidR="004B27D5" w:rsidRPr="004B27D5" w:rsidRDefault="004B27D5" w:rsidP="004B27D5">
            <w:pPr>
              <w:widowControl/>
              <w:spacing w:line="375" w:lineRule="atLeast"/>
              <w:jc w:val="left"/>
              <w:rPr>
                <w:rFonts w:ascii="宋体" w:eastAsia="宋体" w:hAnsi="宋体" w:cs="宋体"/>
                <w:b/>
                <w:bCs/>
                <w:color w:val="4B4B4B"/>
                <w:kern w:val="0"/>
                <w:szCs w:val="21"/>
              </w:rPr>
            </w:pPr>
            <w:r w:rsidRPr="004B27D5">
              <w:rPr>
                <w:rFonts w:ascii="宋体" w:eastAsia="宋体" w:hAnsi="宋体" w:cs="宋体" w:hint="eastAsia"/>
                <w:b/>
                <w:bCs/>
                <w:color w:val="4B4B4B"/>
                <w:kern w:val="0"/>
                <w:szCs w:val="21"/>
              </w:rPr>
              <w:t>生成日期：</w:t>
            </w:r>
          </w:p>
        </w:tc>
        <w:tc>
          <w:tcPr>
            <w:tcW w:w="1050" w:type="pct"/>
            <w:hideMark/>
          </w:tcPr>
          <w:p w:rsidR="004B27D5" w:rsidRPr="004B27D5" w:rsidRDefault="004B27D5" w:rsidP="004B27D5">
            <w:pPr>
              <w:widowControl/>
              <w:spacing w:line="375" w:lineRule="atLeast"/>
              <w:jc w:val="left"/>
              <w:rPr>
                <w:rFonts w:ascii="宋体" w:eastAsia="宋体" w:hAnsi="宋体" w:cs="宋体"/>
                <w:color w:val="4B4B4B"/>
                <w:kern w:val="0"/>
                <w:szCs w:val="21"/>
              </w:rPr>
            </w:pPr>
            <w:r w:rsidRPr="004B27D5">
              <w:rPr>
                <w:rFonts w:ascii="宋体" w:eastAsia="宋体" w:hAnsi="宋体" w:cs="宋体" w:hint="eastAsia"/>
                <w:color w:val="4B4B4B"/>
                <w:kern w:val="0"/>
                <w:szCs w:val="21"/>
              </w:rPr>
              <w:t>2014-01-29</w:t>
            </w:r>
          </w:p>
        </w:tc>
        <w:tc>
          <w:tcPr>
            <w:tcW w:w="500" w:type="pct"/>
            <w:hideMark/>
          </w:tcPr>
          <w:p w:rsidR="004B27D5" w:rsidRPr="004B27D5" w:rsidRDefault="004B27D5" w:rsidP="004B27D5">
            <w:pPr>
              <w:widowControl/>
              <w:spacing w:line="375" w:lineRule="atLeast"/>
              <w:jc w:val="left"/>
              <w:rPr>
                <w:rFonts w:ascii="宋体" w:eastAsia="宋体" w:hAnsi="宋体" w:cs="宋体"/>
                <w:b/>
                <w:bCs/>
                <w:color w:val="4B4B4B"/>
                <w:kern w:val="0"/>
                <w:szCs w:val="21"/>
              </w:rPr>
            </w:pPr>
            <w:r w:rsidRPr="004B27D5">
              <w:rPr>
                <w:rFonts w:ascii="宋体" w:eastAsia="宋体" w:hAnsi="宋体" w:cs="宋体" w:hint="eastAsia"/>
                <w:b/>
                <w:bCs/>
                <w:color w:val="4B4B4B"/>
                <w:kern w:val="0"/>
                <w:szCs w:val="21"/>
              </w:rPr>
              <w:t>发文机构：</w:t>
            </w:r>
          </w:p>
        </w:tc>
        <w:tc>
          <w:tcPr>
            <w:tcW w:w="1700" w:type="pct"/>
            <w:hideMark/>
          </w:tcPr>
          <w:p w:rsidR="004B27D5" w:rsidRPr="004B27D5" w:rsidRDefault="004B27D5" w:rsidP="004B27D5">
            <w:pPr>
              <w:widowControl/>
              <w:spacing w:line="375" w:lineRule="atLeast"/>
              <w:jc w:val="left"/>
              <w:rPr>
                <w:rFonts w:ascii="宋体" w:eastAsia="宋体" w:hAnsi="宋体" w:cs="宋体"/>
                <w:color w:val="4B4B4B"/>
                <w:kern w:val="0"/>
                <w:szCs w:val="21"/>
              </w:rPr>
            </w:pPr>
            <w:r w:rsidRPr="004B27D5">
              <w:rPr>
                <w:rFonts w:ascii="宋体" w:eastAsia="宋体" w:hAnsi="宋体" w:cs="宋体" w:hint="eastAsia"/>
                <w:color w:val="4B4B4B"/>
                <w:kern w:val="0"/>
                <w:szCs w:val="21"/>
              </w:rPr>
              <w:t>教育部</w:t>
            </w:r>
          </w:p>
        </w:tc>
      </w:tr>
      <w:tr w:rsidR="004B27D5" w:rsidRPr="004B27D5" w:rsidTr="004B27D5">
        <w:trPr>
          <w:tblCellSpacing w:w="0" w:type="dxa"/>
        </w:trPr>
        <w:tc>
          <w:tcPr>
            <w:tcW w:w="500" w:type="pct"/>
            <w:hideMark/>
          </w:tcPr>
          <w:p w:rsidR="004B27D5" w:rsidRPr="004B27D5" w:rsidRDefault="004B27D5" w:rsidP="004B27D5">
            <w:pPr>
              <w:widowControl/>
              <w:spacing w:line="375" w:lineRule="atLeast"/>
              <w:jc w:val="left"/>
              <w:rPr>
                <w:rFonts w:ascii="宋体" w:eastAsia="宋体" w:hAnsi="宋体" w:cs="宋体"/>
                <w:b/>
                <w:bCs/>
                <w:color w:val="4B4B4B"/>
                <w:kern w:val="0"/>
                <w:szCs w:val="21"/>
              </w:rPr>
            </w:pPr>
            <w:r w:rsidRPr="004B27D5">
              <w:rPr>
                <w:rFonts w:ascii="宋体" w:eastAsia="宋体" w:hAnsi="宋体" w:cs="宋体" w:hint="eastAsia"/>
                <w:b/>
                <w:bCs/>
                <w:color w:val="4B4B4B"/>
                <w:kern w:val="0"/>
                <w:szCs w:val="21"/>
              </w:rPr>
              <w:t>发文字号：</w:t>
            </w:r>
          </w:p>
        </w:tc>
        <w:tc>
          <w:tcPr>
            <w:tcW w:w="0" w:type="auto"/>
            <w:hideMark/>
          </w:tcPr>
          <w:p w:rsidR="004B27D5" w:rsidRPr="004B27D5" w:rsidRDefault="004B27D5" w:rsidP="004B27D5">
            <w:pPr>
              <w:widowControl/>
              <w:spacing w:line="375" w:lineRule="atLeast"/>
              <w:jc w:val="left"/>
              <w:rPr>
                <w:rFonts w:ascii="宋体" w:eastAsia="宋体" w:hAnsi="宋体" w:cs="宋体"/>
                <w:color w:val="4B4B4B"/>
                <w:kern w:val="0"/>
                <w:szCs w:val="21"/>
              </w:rPr>
            </w:pPr>
            <w:r w:rsidRPr="004B27D5">
              <w:rPr>
                <w:rFonts w:ascii="宋体" w:eastAsia="宋体" w:hAnsi="宋体" w:cs="宋体" w:hint="eastAsia"/>
                <w:color w:val="4B4B4B"/>
                <w:kern w:val="0"/>
                <w:szCs w:val="21"/>
              </w:rPr>
              <w:t>中华人民共和国教育部令第35号</w:t>
            </w:r>
          </w:p>
        </w:tc>
        <w:tc>
          <w:tcPr>
            <w:tcW w:w="500" w:type="pct"/>
            <w:hideMark/>
          </w:tcPr>
          <w:p w:rsidR="004B27D5" w:rsidRPr="004B27D5" w:rsidRDefault="004B27D5" w:rsidP="004B27D5">
            <w:pPr>
              <w:widowControl/>
              <w:spacing w:line="375" w:lineRule="atLeast"/>
              <w:jc w:val="left"/>
              <w:rPr>
                <w:rFonts w:ascii="宋体" w:eastAsia="宋体" w:hAnsi="宋体" w:cs="宋体"/>
                <w:b/>
                <w:bCs/>
                <w:color w:val="4B4B4B"/>
                <w:kern w:val="0"/>
                <w:szCs w:val="21"/>
              </w:rPr>
            </w:pPr>
            <w:r w:rsidRPr="004B27D5">
              <w:rPr>
                <w:rFonts w:ascii="宋体" w:eastAsia="宋体" w:hAnsi="宋体" w:cs="宋体" w:hint="eastAsia"/>
                <w:b/>
                <w:bCs/>
                <w:color w:val="4B4B4B"/>
                <w:kern w:val="0"/>
                <w:szCs w:val="21"/>
              </w:rPr>
              <w:t>信息类别：</w:t>
            </w:r>
          </w:p>
        </w:tc>
        <w:tc>
          <w:tcPr>
            <w:tcW w:w="0" w:type="auto"/>
            <w:gridSpan w:val="3"/>
            <w:hideMark/>
          </w:tcPr>
          <w:p w:rsidR="004B27D5" w:rsidRPr="004B27D5" w:rsidRDefault="004B27D5" w:rsidP="004B27D5">
            <w:pPr>
              <w:widowControl/>
              <w:spacing w:line="375" w:lineRule="atLeast"/>
              <w:jc w:val="left"/>
              <w:rPr>
                <w:rFonts w:ascii="宋体" w:eastAsia="宋体" w:hAnsi="宋体" w:cs="宋体"/>
                <w:color w:val="4B4B4B"/>
                <w:kern w:val="0"/>
                <w:szCs w:val="21"/>
              </w:rPr>
            </w:pPr>
            <w:r w:rsidRPr="004B27D5">
              <w:rPr>
                <w:rFonts w:ascii="宋体" w:eastAsia="宋体" w:hAnsi="宋体" w:cs="宋体" w:hint="eastAsia"/>
                <w:color w:val="4B4B4B"/>
                <w:kern w:val="0"/>
                <w:szCs w:val="21"/>
              </w:rPr>
              <w:t>部门规章</w:t>
            </w:r>
          </w:p>
        </w:tc>
      </w:tr>
      <w:tr w:rsidR="004B27D5" w:rsidRPr="004B27D5" w:rsidTr="004B27D5">
        <w:trPr>
          <w:tblCellSpacing w:w="0" w:type="dxa"/>
        </w:trPr>
        <w:tc>
          <w:tcPr>
            <w:tcW w:w="500" w:type="pct"/>
            <w:hideMark/>
          </w:tcPr>
          <w:p w:rsidR="004B27D5" w:rsidRPr="004B27D5" w:rsidRDefault="004B27D5" w:rsidP="004B27D5">
            <w:pPr>
              <w:widowControl/>
              <w:spacing w:line="375" w:lineRule="atLeast"/>
              <w:jc w:val="left"/>
              <w:rPr>
                <w:rFonts w:ascii="宋体" w:eastAsia="宋体" w:hAnsi="宋体" w:cs="宋体"/>
                <w:b/>
                <w:bCs/>
                <w:color w:val="4B4B4B"/>
                <w:kern w:val="0"/>
                <w:szCs w:val="21"/>
              </w:rPr>
            </w:pPr>
            <w:r w:rsidRPr="004B27D5">
              <w:rPr>
                <w:rFonts w:ascii="宋体" w:eastAsia="宋体" w:hAnsi="宋体" w:cs="宋体" w:hint="eastAsia"/>
                <w:b/>
                <w:bCs/>
                <w:color w:val="4B4B4B"/>
                <w:kern w:val="0"/>
                <w:szCs w:val="21"/>
              </w:rPr>
              <w:t>内容概述：</w:t>
            </w:r>
          </w:p>
        </w:tc>
        <w:tc>
          <w:tcPr>
            <w:tcW w:w="0" w:type="auto"/>
            <w:gridSpan w:val="5"/>
            <w:hideMark/>
          </w:tcPr>
          <w:p w:rsidR="004B27D5" w:rsidRPr="004B27D5" w:rsidRDefault="004B27D5" w:rsidP="004B27D5">
            <w:pPr>
              <w:widowControl/>
              <w:spacing w:line="375" w:lineRule="atLeast"/>
              <w:jc w:val="left"/>
              <w:rPr>
                <w:rFonts w:ascii="宋体" w:eastAsia="宋体" w:hAnsi="宋体" w:cs="宋体"/>
                <w:color w:val="4B4B4B"/>
                <w:kern w:val="0"/>
                <w:szCs w:val="21"/>
              </w:rPr>
            </w:pPr>
            <w:r w:rsidRPr="004B27D5">
              <w:rPr>
                <w:rFonts w:ascii="宋体" w:eastAsia="宋体" w:hAnsi="宋体" w:cs="宋体" w:hint="eastAsia"/>
                <w:color w:val="4B4B4B"/>
                <w:kern w:val="0"/>
                <w:szCs w:val="21"/>
              </w:rPr>
              <w:t>为促进高等学校规范和加强学术委员会建设，完善内部治理结构，保障学术委员会在教学、科研等学术事务中有效发挥作用，根据《中华人民共和国高等教育法》及相关规定，制定高等学校学术委员会规程,自2014年3月1日起施行。</w:t>
            </w:r>
          </w:p>
        </w:tc>
      </w:tr>
    </w:tbl>
    <w:p w:rsidR="004B27D5" w:rsidRPr="004B27D5" w:rsidRDefault="004B27D5" w:rsidP="004B27D5">
      <w:pPr>
        <w:widowControl/>
        <w:shd w:val="clear" w:color="auto" w:fill="FFFFFF"/>
        <w:jc w:val="left"/>
        <w:rPr>
          <w:rFonts w:ascii="宋体" w:eastAsia="宋体" w:hAnsi="宋体" w:cs="宋体"/>
          <w:vanish/>
          <w:kern w:val="0"/>
          <w:sz w:val="24"/>
          <w:szCs w:val="24"/>
        </w:rPr>
      </w:pPr>
      <w:r w:rsidRPr="004B27D5">
        <w:rPr>
          <w:rFonts w:ascii="宋体" w:eastAsia="宋体" w:hAnsi="宋体" w:cs="宋体"/>
          <w:vanish/>
          <w:kern w:val="0"/>
          <w:sz w:val="24"/>
          <w:szCs w:val="24"/>
        </w:rPr>
        <w:t>信息公开_部令</w:t>
      </w:r>
    </w:p>
    <w:p w:rsidR="004B27D5" w:rsidRPr="004B27D5" w:rsidRDefault="004B27D5" w:rsidP="004B27D5">
      <w:pPr>
        <w:widowControl/>
        <w:shd w:val="clear" w:color="auto" w:fill="FFFFFF"/>
        <w:spacing w:before="100" w:beforeAutospacing="1" w:after="100" w:afterAutospacing="1" w:line="480" w:lineRule="atLeast"/>
        <w:jc w:val="center"/>
        <w:rPr>
          <w:rFonts w:ascii="微软雅黑" w:eastAsia="微软雅黑" w:hAnsi="微软雅黑" w:cs="宋体"/>
          <w:b/>
          <w:bCs/>
          <w:vanish/>
          <w:color w:val="4B4B4B"/>
          <w:kern w:val="0"/>
          <w:sz w:val="24"/>
          <w:szCs w:val="24"/>
        </w:rPr>
      </w:pPr>
      <w:r w:rsidRPr="004B27D5">
        <w:rPr>
          <w:rFonts w:ascii="微软雅黑" w:eastAsia="微软雅黑" w:hAnsi="微软雅黑" w:cs="宋体" w:hint="eastAsia"/>
          <w:b/>
          <w:bCs/>
          <w:vanish/>
          <w:color w:val="4B4B4B"/>
          <w:kern w:val="0"/>
          <w:sz w:val="24"/>
          <w:szCs w:val="24"/>
        </w:rPr>
        <w:t>中华人民共和国教育部令第35号</w:t>
      </w:r>
    </w:p>
    <w:p w:rsidR="004B27D5" w:rsidRPr="004B27D5" w:rsidRDefault="004B27D5" w:rsidP="004B27D5">
      <w:pPr>
        <w:widowControl/>
        <w:shd w:val="clear" w:color="auto" w:fill="FFFFFF"/>
        <w:spacing w:before="100" w:beforeAutospacing="1" w:after="100" w:afterAutospacing="1"/>
        <w:jc w:val="center"/>
        <w:outlineLvl w:val="1"/>
        <w:rPr>
          <w:rFonts w:ascii="微软雅黑" w:eastAsia="微软雅黑" w:hAnsi="微软雅黑" w:cs="宋体" w:hint="eastAsia"/>
          <w:b/>
          <w:bCs/>
          <w:vanish/>
          <w:color w:val="4B4B4B"/>
          <w:kern w:val="36"/>
          <w:sz w:val="30"/>
          <w:szCs w:val="30"/>
        </w:rPr>
      </w:pPr>
      <w:r w:rsidRPr="004B27D5">
        <w:rPr>
          <w:rFonts w:ascii="微软雅黑" w:eastAsia="微软雅黑" w:hAnsi="微软雅黑" w:cs="宋体" w:hint="eastAsia"/>
          <w:b/>
          <w:bCs/>
          <w:vanish/>
          <w:color w:val="4B4B4B"/>
          <w:kern w:val="36"/>
          <w:sz w:val="30"/>
          <w:szCs w:val="30"/>
        </w:rPr>
        <w:t>高等学校学术委员会规程</w:t>
      </w:r>
    </w:p>
    <w:p w:rsidR="004B27D5" w:rsidRPr="004B27D5" w:rsidRDefault="004B27D5" w:rsidP="004B27D5">
      <w:pPr>
        <w:widowControl/>
        <w:shd w:val="clear" w:color="auto" w:fill="FFFFFF"/>
        <w:spacing w:before="100" w:beforeAutospacing="1" w:after="100" w:afterAutospacing="1" w:line="480" w:lineRule="atLeast"/>
        <w:jc w:val="center"/>
        <w:rPr>
          <w:rFonts w:ascii="微软雅黑" w:eastAsia="微软雅黑" w:hAnsi="微软雅黑" w:cs="宋体" w:hint="eastAsia"/>
          <w:b/>
          <w:bCs/>
          <w:color w:val="4B4B4B"/>
          <w:kern w:val="0"/>
          <w:sz w:val="24"/>
          <w:szCs w:val="24"/>
        </w:rPr>
      </w:pPr>
      <w:r w:rsidRPr="004B27D5">
        <w:rPr>
          <w:rFonts w:ascii="微软雅黑" w:eastAsia="微软雅黑" w:hAnsi="微软雅黑" w:cs="宋体" w:hint="eastAsia"/>
          <w:b/>
          <w:bCs/>
          <w:color w:val="4B4B4B"/>
          <w:kern w:val="0"/>
          <w:sz w:val="24"/>
          <w:szCs w:val="24"/>
        </w:rPr>
        <w:t>中华人民共和国教育部令第35号</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《高等学校学术委员会规程》已于2014年1月8日经教育部2014年第1次部长办公室会议审议通过，现予公布，自2014年3月1日起施行。</w:t>
      </w:r>
    </w:p>
    <w:p w:rsidR="004B27D5" w:rsidRPr="004B27D5" w:rsidRDefault="004B27D5" w:rsidP="004B27D5">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教育部部长　袁贵仁</w:t>
      </w:r>
    </w:p>
    <w:p w:rsidR="004B27D5" w:rsidRPr="004B27D5" w:rsidRDefault="004B27D5" w:rsidP="004B27D5">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2014年1月29日</w:t>
      </w:r>
    </w:p>
    <w:p w:rsidR="004B27D5" w:rsidRPr="004B27D5" w:rsidRDefault="004B27D5" w:rsidP="004B27D5">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b/>
          <w:bCs/>
          <w:color w:val="4B4B4B"/>
          <w:kern w:val="0"/>
          <w:sz w:val="24"/>
          <w:szCs w:val="24"/>
        </w:rPr>
        <w:t>第一章 总则</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第一条 为促进高等学校规范和加强学术委员会建设，完善内部治理结构，保障学术委员会在教学、科研等学术事务中有效发挥作用，根据《中华人民共和国高等教育法》及相关规定，制定本规程。</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第二条 高等学校应当依法设立学术委员会，健全以学术委员会为核心的学术管理体系与组织架构；并以学术委员会作为校内最高学术机构，统筹行使学术事务的决策、审议、评定和咨询等职权。</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实施本科以上教育的普通高等学校学术委员会的组成、职责与运行等，适用本规程。</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lastRenderedPageBreak/>
        <w:t xml:space="preserve">　　第三条 高等学校应当充分发挥学术委员会在学科建设、学术评价、学术发展和学风建设等事项上的重要作用，完善学术管理的体制、制度和规范，积极探索教授治学的有效途径，尊重并支持学术委员会独立行使职权，并为学术委员会正常开展工作提供必要的条件保障。</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第四条 高等学校学术委员会应当遵循学术规律，尊重学术自由、学术平等，鼓励学术创新，促进学术发展和人才培养，提高学术质量；应当公平、公正、公开地履行职责，保障教师、科研人员和学生在教学、科研和学术事务管理中充分发挥主体作用，促进学校科学发展。</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第五条 高等学校应当结合实际，依据本规程，制定学术委员会章程或者通过学校章程，具体明确学术委员会组成、职责，以及委员的产生程序、增补办法，会议制度和议事规则及其他本规程未尽事宜。</w:t>
      </w:r>
    </w:p>
    <w:p w:rsidR="004B27D5" w:rsidRPr="004B27D5" w:rsidRDefault="004B27D5" w:rsidP="004B27D5">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b/>
          <w:bCs/>
          <w:color w:val="4B4B4B"/>
          <w:kern w:val="0"/>
          <w:sz w:val="24"/>
          <w:szCs w:val="24"/>
        </w:rPr>
        <w:t>第二章 组成规则</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第六条 学术委员会一般应当由学校不同学科、专业的教授及具有正高级以上专业技术职务的人员组成，并应当有一定比例的青年教师。</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学术委员会人数应当与学校的学科、专业设置相匹配，并为不低于15人的单数。其中，担任学校及职能部门党政领导职务的委员，不超过委员总人数的1/4；不担任党政领导</w:t>
      </w:r>
      <w:proofErr w:type="gramStart"/>
      <w:r w:rsidRPr="004B27D5">
        <w:rPr>
          <w:rFonts w:ascii="微软雅黑" w:eastAsia="微软雅黑" w:hAnsi="微软雅黑" w:cs="宋体" w:hint="eastAsia"/>
          <w:color w:val="4B4B4B"/>
          <w:kern w:val="0"/>
          <w:sz w:val="24"/>
          <w:szCs w:val="24"/>
        </w:rPr>
        <w:t>职务及院系主</w:t>
      </w:r>
      <w:proofErr w:type="gramEnd"/>
      <w:r w:rsidRPr="004B27D5">
        <w:rPr>
          <w:rFonts w:ascii="微软雅黑" w:eastAsia="微软雅黑" w:hAnsi="微软雅黑" w:cs="宋体" w:hint="eastAsia"/>
          <w:color w:val="4B4B4B"/>
          <w:kern w:val="0"/>
          <w:sz w:val="24"/>
          <w:szCs w:val="24"/>
        </w:rPr>
        <w:t>要负责人的专任教授，不少于委员总人数的1/2。</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lastRenderedPageBreak/>
        <w:t xml:space="preserve">　　学校可以根据需要聘请校外专家及有关方面代表，担任专门学术事项的特邀委员。</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第七条 学术委员会委员应当具备以下条件：</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（一）遵守宪法法律，学风端正、治学严谨、公道正派；</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（二）学术造诣高，在本学科或者专业领域具有良好的学术声誉和公认的学术成果；</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（三） 关心学校建设和发展，有参与学术议事的意愿和能力，能够正常履行职责；</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（四）学校规定的其他条件。</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第八条 学校应当根据学科、专业构成情况，合理确定院系（学部）的委员名额，保证学术委员会的组成具有广泛的学科代表性和公平性。</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学术委员会委员的产生，应当经自下而上的民主推荐、公开公正的遴选等方式产生候选人，由民主选举等程序确定，充分反映基层学术组织和广大教师的意见。</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特邀委员由校长、学术委员会主任委员或者1/3以上学术委员会委员提名，经学术委员会同意后确定。</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第九条 学术委员会委员由校长聘任。</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lastRenderedPageBreak/>
        <w:t xml:space="preserve">　　学术委员会委员实行任期制，任期一般可为4年，可连选连任，但连任最长不超过2届。</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学术委员会每次换届，连任的委员人数应不高于委员总数的2/3。</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第十条 学术委员会设主任委员1名，可根据需要设若干名副主任委员。主任委员可由校长提名，全体委员选举产生；也可以采取直接由全体委员选举等方式产生，具体办法由学校规定。</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第十一条 学术委员会可以就学科建设、教师聘任、教学指导、科学研究、学术道德等事项设立若干专门委员会，具体承担相关职责和学术事务；应当根据需要，在院系（学部）设置或者按照学科领域设置学术分委员会，也可以委托基层学术组织承担相应职责。</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各专门委员会和学术分委员会根据法律规定、学术委员会的授权及各自章程开展工作，</w:t>
      </w:r>
      <w:proofErr w:type="gramStart"/>
      <w:r w:rsidRPr="004B27D5">
        <w:rPr>
          <w:rFonts w:ascii="微软雅黑" w:eastAsia="微软雅黑" w:hAnsi="微软雅黑" w:cs="宋体" w:hint="eastAsia"/>
          <w:color w:val="4B4B4B"/>
          <w:kern w:val="0"/>
          <w:sz w:val="24"/>
          <w:szCs w:val="24"/>
        </w:rPr>
        <w:t>向学术</w:t>
      </w:r>
      <w:proofErr w:type="gramEnd"/>
      <w:r w:rsidRPr="004B27D5">
        <w:rPr>
          <w:rFonts w:ascii="微软雅黑" w:eastAsia="微软雅黑" w:hAnsi="微软雅黑" w:cs="宋体" w:hint="eastAsia"/>
          <w:color w:val="4B4B4B"/>
          <w:kern w:val="0"/>
          <w:sz w:val="24"/>
          <w:szCs w:val="24"/>
        </w:rPr>
        <w:t>委员会报告工作，接受学术委员会的指导和监督。</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学术委员会设立秘书处，处理学术委员会的日常事务；学术委员会的运行经费，应当纳入学校预算安排。</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第十二条 学术委员会委员在任期内有下列情形，经学术委员会全体会议讨论决定，可免除或同意其辞去委员职务：</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（一）主动申请辞去委员职务的；</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（二）因身体、年龄及职务变动等原因不能履行职责的；</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lastRenderedPageBreak/>
        <w:t xml:space="preserve">　　（三）</w:t>
      </w:r>
      <w:proofErr w:type="gramStart"/>
      <w:r w:rsidRPr="004B27D5">
        <w:rPr>
          <w:rFonts w:ascii="微软雅黑" w:eastAsia="微软雅黑" w:hAnsi="微软雅黑" w:cs="宋体" w:hint="eastAsia"/>
          <w:color w:val="4B4B4B"/>
          <w:kern w:val="0"/>
          <w:sz w:val="24"/>
          <w:szCs w:val="24"/>
        </w:rPr>
        <w:t>怠</w:t>
      </w:r>
      <w:proofErr w:type="gramEnd"/>
      <w:r w:rsidRPr="004B27D5">
        <w:rPr>
          <w:rFonts w:ascii="微软雅黑" w:eastAsia="微软雅黑" w:hAnsi="微软雅黑" w:cs="宋体" w:hint="eastAsia"/>
          <w:color w:val="4B4B4B"/>
          <w:kern w:val="0"/>
          <w:sz w:val="24"/>
          <w:szCs w:val="24"/>
        </w:rPr>
        <w:t>于履行职责或者违反委员义务的；</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（四）有违法、违反教师职业道德或者学术不端行为的；</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（五）因其他原因不能或不宜担任委员职务的。</w:t>
      </w:r>
    </w:p>
    <w:p w:rsidR="004B27D5" w:rsidRPr="004B27D5" w:rsidRDefault="004B27D5" w:rsidP="004B27D5">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b/>
          <w:bCs/>
          <w:color w:val="4B4B4B"/>
          <w:kern w:val="0"/>
          <w:sz w:val="24"/>
          <w:szCs w:val="24"/>
        </w:rPr>
        <w:t>第三章 职责权限</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第十三条 学术委员会委员享有以下权利：</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（一）知悉与学术事务相关的学校各项管理制度、信息等；</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（二）就学术事务向学校相关职能部门提出咨询或质询；</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（三）在学术委员会会议中自由、独立地发表意见，讨论、审议和表决各项决议；</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（四）对学校学术事务及学术委员会工作提出建议、实施监督；</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（五）学校章程或者学术委员会章程规定的其他权利。</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特邀委员根据学校的规定，享有相应权利。</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第十四条 学术委员会委员须履行以下义务：</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（一）遵守国家宪法、法律和法规，遵守学术规范、恪守学术道德；</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（二）遵守学术委员会章程，坚守学术专业判断，公正履行职责；</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lastRenderedPageBreak/>
        <w:t xml:space="preserve">　　（三）勤勉尽职，积极参加学术委员会会议及有关活动；</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（四）学校章程或者学术委员会章程规定的其他义务。</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第十五条 学校下列事务决策前，应当提交学术委员会审议，或者交由学术委员会审议并直接做出决定：</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（一）学科、专业及教师队伍建设规划，以及科学研究、对外学术交流合作等重大学术规划； </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（二）自主设置或者申请设置学科专业；</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（三）学术机构设置方案，交叉学科、跨学科协同创新机制的建设方案、学科资源的配置方案；</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（四）教学科研成果、人才培养质量的评价标准及考核办法；</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（五）学位授予标准及细则，学历教育的培养标准、教学计划方案、招生的标准与办法；</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（六）学校教师职务聘任的学术标准与办法；</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（七）学术评价、争议处理规则，学术道德规范；</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（八）学术委员会专门委员会组织规程，学术分委员会章程；</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（九）学校认为需要提交审议的其他学术事务。</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lastRenderedPageBreak/>
        <w:t xml:space="preserve">　　　第十六条 学校实施以下事项，涉及对学术水平做出评价的，应当由学术委员会或者其授权的学术组织进行评定：</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（一）学校教学、科学研究成果和奖励，对外推荐教学、科学研究成果奖；</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（二）高层次人才引进岗位人选、名誉（客座）教授聘任人选，推荐国内外重要学术组织的任职人选、人才选拔培养计划人选；</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（三）自主设立各类学术、科研基金、科研项目以及教学、科研奖项等；</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（四）需要评价学术水平的其他事项。</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第十七条 学校做出下列决策前，应当通报学术委员会，由学术委员会提出咨询意见：</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（一）制订与学术事务相关的全局性、重大发展规划和发展战略；</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（二）学校预算决算中教学、科研经费的安排和分配及使用；</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（三）教学、科研重大项目的申报及资金的分配使用；</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（四）开展中外合作办学、赴境外办学，对外开展重大项目合作；</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（五）学校认为需要听取学术委员会意见的其他事项。</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学术委员会对上述事项提出明确不同意见的，学校应当做出说明、重新协商研究或者暂缓执行。</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lastRenderedPageBreak/>
        <w:t xml:space="preserve">　　第十八条 学术委员会按照有关规定及学校委托，受理有关学术不端行为的举报并进行调查，裁决学术纠纷。</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学术委员会调查学术不端行为、裁决学术纠纷，应当组织具有权威性和中立性的专家组，从学术角度独立调查取证，客观公正地进行调查认定。专家组的认定结论，当事人有异议的，学术委员会应当组织复议，必要的可以举行听证。</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对违反学术道德的行为，学术委员会可以依职权直接撤销或者建议相关部门撤销当事人相应的学术称号、学术待遇，并可以同时向学校、相关部门提出处理建议。</w:t>
      </w:r>
    </w:p>
    <w:p w:rsidR="004B27D5" w:rsidRPr="004B27D5" w:rsidRDefault="004B27D5" w:rsidP="004B27D5">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b/>
          <w:bCs/>
          <w:color w:val="4B4B4B"/>
          <w:kern w:val="0"/>
          <w:sz w:val="24"/>
          <w:szCs w:val="24"/>
        </w:rPr>
        <w:t>第四章 运行制度</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第十九条 学术委员会实行例会制度，每学期至少召开1次全体会议。根据工作需要，经学术委员会主任委员或者校长提议，或者1/3以上委员联名提议，可以临时召开学术委员会全体会议，商讨、决定相关事项。</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学术委员会可以授权专门委员会处理专项学术事务，履行相应职责。</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第二十条 学术委员会主任委员负责召集和主持学术委员会会议，必要时，可以委托副主任委员召集和主持会议。学术委员会委员全体会议应有2/3以上委员出席方可举行。</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lastRenderedPageBreak/>
        <w:t xml:space="preserve">　　学术委员会全体会议应当提前确定议题并通知与会委员。经与会1/3以上委员同意，可以临时增加议题。</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第二十一条 学术委员会议事决策实行少数服从多数的原则，重大事项应当以与会委员的2/3以上同意，方可通过。</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学术委员会会议审议决定或者评定的事项，一般应当以无记名投票方式做出决定；也可以根据事项性质，采取实名投票方式。 </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学术委员会审议或者评定的事项与委员本人及其配偶和直系亲属有关，或者具有利益关联的，相关委员应当回避。</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第二十二条 学术委员会会议可以根据议题，设立旁听席，允许相关学校职能部门、教师及学生代表列席旁听。</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学术委员会做出的决定应当予以公示，并设置异议期。在异议期内如有异议，经1/3以上委员同意，可召开全体会议复议。经复议的决定为终局结论。</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第二十三条 学术委员会应当建立年度报告制度，每年度对学校整体的学术水平、学科发展、人才培养质量等进行全面评价，提出意见、建议；对学术委员会的运行及履行职责的情况进行总结。</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学术委员会年度报告应提交教职工代表大会审议，有关意见、建议的采纳情况，校长应当做出说明。</w:t>
      </w:r>
    </w:p>
    <w:p w:rsidR="004B27D5" w:rsidRPr="004B27D5" w:rsidRDefault="004B27D5" w:rsidP="004B27D5">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b/>
          <w:bCs/>
          <w:color w:val="4B4B4B"/>
          <w:kern w:val="0"/>
          <w:sz w:val="24"/>
          <w:szCs w:val="24"/>
        </w:rPr>
        <w:t>第五章 附 则</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lastRenderedPageBreak/>
        <w:t xml:space="preserve">　　第二十四条 高等职业学校、成人高等学校可以参照本规程，结合自身特点，确定学术委员会的组成及职责，制定学术委员会章程。</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第二十五条 高等学校现有学术委员会的组成、职责等与本规程不一致的，学校通过经核准的章程已予以规范的，可以按照学校章程的规定实施；学校章程未规定的，应当按照本规程进行调整、规范。</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第二十六条 本规程自2014年3月1日起施行。</w:t>
      </w:r>
    </w:p>
    <w:p w:rsidR="004B27D5" w:rsidRPr="004B27D5" w:rsidRDefault="004B27D5" w:rsidP="004B27D5">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4B27D5">
        <w:rPr>
          <w:rFonts w:ascii="微软雅黑" w:eastAsia="微软雅黑" w:hAnsi="微软雅黑" w:cs="宋体" w:hint="eastAsia"/>
          <w:color w:val="4B4B4B"/>
          <w:kern w:val="0"/>
          <w:sz w:val="24"/>
          <w:szCs w:val="24"/>
        </w:rPr>
        <w:t xml:space="preserve">　　教育部此前发布的有关规章、文件中的相关规定与本规程不一致的，以本规程为准。</w:t>
      </w:r>
    </w:p>
    <w:p w:rsidR="007C4BE3" w:rsidRDefault="007C4BE3">
      <w:pPr>
        <w:rPr>
          <w:rFonts w:hint="eastAsia"/>
        </w:rPr>
      </w:pPr>
    </w:p>
    <w:sectPr w:rsidR="007C4BE3" w:rsidSect="0062523B">
      <w:pgSz w:w="11906" w:h="16838" w:code="9"/>
      <w:pgMar w:top="1701" w:right="1701" w:bottom="1701" w:left="1701" w:header="851" w:footer="992" w:gutter="284"/>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B27D5"/>
    <w:rsid w:val="004B27D5"/>
    <w:rsid w:val="0062523B"/>
    <w:rsid w:val="00661704"/>
    <w:rsid w:val="007C4BE3"/>
    <w:rsid w:val="00AD3412"/>
    <w:rsid w:val="00B37BA6"/>
    <w:rsid w:val="00D3538B"/>
    <w:rsid w:val="00E630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B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B27D5"/>
    <w:rPr>
      <w:b/>
      <w:bCs/>
    </w:rPr>
  </w:style>
</w:styles>
</file>

<file path=word/webSettings.xml><?xml version="1.0" encoding="utf-8"?>
<w:webSettings xmlns:r="http://schemas.openxmlformats.org/officeDocument/2006/relationships" xmlns:w="http://schemas.openxmlformats.org/wordprocessingml/2006/main">
  <w:divs>
    <w:div w:id="1083258201">
      <w:bodyDiv w:val="1"/>
      <w:marLeft w:val="0"/>
      <w:marRight w:val="0"/>
      <w:marTop w:val="0"/>
      <w:marBottom w:val="0"/>
      <w:divBdr>
        <w:top w:val="none" w:sz="0" w:space="0" w:color="auto"/>
        <w:left w:val="none" w:sz="0" w:space="0" w:color="auto"/>
        <w:bottom w:val="none" w:sz="0" w:space="0" w:color="auto"/>
        <w:right w:val="none" w:sz="0" w:space="0" w:color="auto"/>
      </w:divBdr>
      <w:divsChild>
        <w:div w:id="1927614183">
          <w:marLeft w:val="0"/>
          <w:marRight w:val="0"/>
          <w:marTop w:val="0"/>
          <w:marBottom w:val="0"/>
          <w:divBdr>
            <w:top w:val="none" w:sz="0" w:space="0" w:color="auto"/>
            <w:left w:val="none" w:sz="0" w:space="0" w:color="auto"/>
            <w:bottom w:val="none" w:sz="0" w:space="0" w:color="auto"/>
            <w:right w:val="none" w:sz="0" w:space="0" w:color="auto"/>
          </w:divBdr>
          <w:divsChild>
            <w:div w:id="301345918">
              <w:marLeft w:val="0"/>
              <w:marRight w:val="0"/>
              <w:marTop w:val="0"/>
              <w:marBottom w:val="0"/>
              <w:divBdr>
                <w:top w:val="single" w:sz="6" w:space="31" w:color="BCBCBC"/>
                <w:left w:val="single" w:sz="6" w:space="31" w:color="BCBCBC"/>
                <w:bottom w:val="single" w:sz="6" w:space="15" w:color="BCBCBC"/>
                <w:right w:val="single" w:sz="6" w:space="31" w:color="BCBCBC"/>
              </w:divBdr>
              <w:divsChild>
                <w:div w:id="2032101681">
                  <w:marLeft w:val="0"/>
                  <w:marRight w:val="0"/>
                  <w:marTop w:val="0"/>
                  <w:marBottom w:val="0"/>
                  <w:divBdr>
                    <w:top w:val="none" w:sz="0" w:space="0" w:color="auto"/>
                    <w:left w:val="none" w:sz="0" w:space="0" w:color="auto"/>
                    <w:bottom w:val="none" w:sz="0" w:space="0" w:color="auto"/>
                    <w:right w:val="none" w:sz="0" w:space="0" w:color="auto"/>
                  </w:divBdr>
                  <w:divsChild>
                    <w:div w:id="918442371">
                      <w:marLeft w:val="0"/>
                      <w:marRight w:val="0"/>
                      <w:marTop w:val="0"/>
                      <w:marBottom w:val="0"/>
                      <w:divBdr>
                        <w:top w:val="none" w:sz="0" w:space="0" w:color="auto"/>
                        <w:left w:val="none" w:sz="0" w:space="0" w:color="auto"/>
                        <w:bottom w:val="none" w:sz="0" w:space="0" w:color="auto"/>
                        <w:right w:val="none" w:sz="0" w:space="0" w:color="auto"/>
                      </w:divBdr>
                    </w:div>
                    <w:div w:id="102054464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648</Words>
  <Characters>3696</Characters>
  <Application>Microsoft Office Word</Application>
  <DocSecurity>0</DocSecurity>
  <Lines>30</Lines>
  <Paragraphs>8</Paragraphs>
  <ScaleCrop>false</ScaleCrop>
  <Company/>
  <LinksUpToDate>false</LinksUpToDate>
  <CharactersWithSpaces>4336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2016-06-02T07:18:00Z</dcterms:created>
  <dcterms:modified xsi:type="dcterms:W3CDTF">2016-06-02T07:19:00Z</dcterms:modified>
</cp:coreProperties>
</file>